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0E52" w:rsidRPr="00080E52" w:rsidRDefault="00080E52" w:rsidP="00080E5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80E5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Запахи воды разделяются на две категории: </w:t>
      </w:r>
    </w:p>
    <w:p w:rsidR="00080E52" w:rsidRPr="00080E52" w:rsidRDefault="00080E52" w:rsidP="00080E52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80E5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естественного</w:t>
      </w:r>
      <w:proofErr w:type="gramEnd"/>
      <w:r w:rsidRPr="00080E5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происхождения</w:t>
      </w:r>
      <w:r w:rsidRPr="00080E52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которые формируются под воздействием живущих и отмерших в воде организмов, загнивающих растительных остатков и т. д.;</w:t>
      </w:r>
    </w:p>
    <w:p w:rsidR="00080E52" w:rsidRPr="00080E52" w:rsidRDefault="00080E52" w:rsidP="00080E52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80E5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искусственного</w:t>
      </w:r>
      <w:proofErr w:type="gramEnd"/>
      <w:r w:rsidRPr="00080E5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происхождения</w:t>
      </w:r>
      <w:r w:rsidRPr="00080E52">
        <w:rPr>
          <w:rFonts w:ascii="Times New Roman" w:eastAsia="Times New Roman" w:hAnsi="Times New Roman" w:cs="Times New Roman"/>
          <w:sz w:val="24"/>
          <w:szCs w:val="24"/>
          <w:lang w:eastAsia="ru-RU"/>
        </w:rPr>
        <w:t>, образующихся под воздействием примесей вод промышленного и сельскохозяйственного назначения.</w:t>
      </w:r>
    </w:p>
    <w:p w:rsidR="00080E52" w:rsidRDefault="00080E52" w:rsidP="00080E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E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Запахи второй категории называют в соответствии с определяющим запах веществом – хлорные, бензиновые и т. д. </w:t>
      </w:r>
    </w:p>
    <w:p w:rsidR="00E55584" w:rsidRPr="00080E52" w:rsidRDefault="00E55584" w:rsidP="00080E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80E52" w:rsidRPr="00080E52" w:rsidRDefault="00E55584" w:rsidP="00080E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Таблица 1. Классификация запахов </w:t>
      </w:r>
      <w:r w:rsidR="00080E52" w:rsidRPr="00080E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первой группы (естественного происхождения):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63"/>
        <w:gridCol w:w="3526"/>
        <w:gridCol w:w="2756"/>
      </w:tblGrid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Символ</w:t>
            </w: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Характер запаха</w:t>
            </w: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756" w:type="dxa"/>
          </w:tcPr>
          <w:p w:rsidR="00E55584" w:rsidRPr="00080E52" w:rsidRDefault="00E55584" w:rsidP="00E5558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Примерное происхождение запаха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Ароматный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Огуречный, цветочныйй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Болотный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Илистый, тинистый          </w:t>
            </w:r>
          </w:p>
        </w:tc>
      </w:tr>
      <w:tr w:rsidR="00E55584" w:rsidRPr="00080E52" w:rsidTr="00E55584">
        <w:trPr>
          <w:trHeight w:val="330"/>
        </w:trPr>
        <w:tc>
          <w:tcPr>
            <w:tcW w:w="3063" w:type="dxa"/>
            <w:tcBorders>
              <w:bottom w:val="single" w:sz="2" w:space="0" w:color="auto"/>
            </w:tcBorders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 </w:t>
            </w:r>
          </w:p>
        </w:tc>
        <w:tc>
          <w:tcPr>
            <w:tcW w:w="3526" w:type="dxa"/>
            <w:tcBorders>
              <w:bottom w:val="single" w:sz="2" w:space="0" w:color="auto"/>
            </w:tcBorders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Гнилостный </w:t>
            </w:r>
          </w:p>
        </w:tc>
        <w:tc>
          <w:tcPr>
            <w:tcW w:w="2756" w:type="dxa"/>
            <w:tcBorders>
              <w:bottom w:val="single" w:sz="2" w:space="0" w:color="auto"/>
            </w:tcBorders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Фекальный, сточный</w:t>
            </w:r>
          </w:p>
        </w:tc>
      </w:tr>
      <w:tr w:rsidR="00E55584" w:rsidRPr="00080E52" w:rsidTr="00E55584">
        <w:trPr>
          <w:trHeight w:val="156"/>
        </w:trPr>
        <w:tc>
          <w:tcPr>
            <w:tcW w:w="3063" w:type="dxa"/>
            <w:tcBorders>
              <w:top w:val="single" w:sz="2" w:space="0" w:color="auto"/>
            </w:tcBorders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 </w:t>
            </w:r>
          </w:p>
        </w:tc>
        <w:tc>
          <w:tcPr>
            <w:tcW w:w="3526" w:type="dxa"/>
            <w:tcBorders>
              <w:top w:val="single" w:sz="2" w:space="0" w:color="auto"/>
            </w:tcBorders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Древесный </w:t>
            </w:r>
          </w:p>
        </w:tc>
        <w:tc>
          <w:tcPr>
            <w:tcW w:w="2756" w:type="dxa"/>
            <w:tcBorders>
              <w:top w:val="single" w:sz="2" w:space="0" w:color="auto"/>
            </w:tcBorders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Мокрой древесной коры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Землистый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Прелый, свежевспаханной земли, глинистый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Плесневый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Затхлый, застойный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Рыбный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Рыбьего жира, рыбы</w:t>
            </w:r>
          </w:p>
        </w:tc>
      </w:tr>
      <w:tr w:rsidR="00E55584" w:rsidRPr="00080E52" w:rsidTr="00E55584">
        <w:trPr>
          <w:trHeight w:val="225"/>
        </w:trPr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Сероводородный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Тухлых яиц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Травянистый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Скошенной травы, сена</w:t>
            </w:r>
          </w:p>
        </w:tc>
      </w:tr>
      <w:tr w:rsidR="00E55584" w:rsidRPr="00080E52" w:rsidTr="00E55584">
        <w:tc>
          <w:tcPr>
            <w:tcW w:w="3063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 </w:t>
            </w:r>
          </w:p>
        </w:tc>
        <w:tc>
          <w:tcPr>
            <w:tcW w:w="3526" w:type="dxa"/>
            <w:hideMark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0E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Неопределенный </w:t>
            </w:r>
          </w:p>
        </w:tc>
        <w:tc>
          <w:tcPr>
            <w:tcW w:w="2756" w:type="dxa"/>
          </w:tcPr>
          <w:p w:rsidR="00E55584" w:rsidRPr="00080E52" w:rsidRDefault="00E55584" w:rsidP="00080E5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118D0" w:rsidRDefault="00080E52" w:rsidP="004118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0E52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Интенсивность запаха по ГОСТ 3351-74* оценивается по шестибальной шкале.</w:t>
      </w:r>
    </w:p>
    <w:p w:rsidR="000D5F1C" w:rsidRDefault="004118D0" w:rsidP="004118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18D0">
        <w:t xml:space="preserve"> </w:t>
      </w:r>
      <w:r w:rsidRPr="004118D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питьевой воды допускается запах не более 2 баллов.</w:t>
      </w:r>
    </w:p>
    <w:tbl>
      <w:tblPr>
        <w:tblStyle w:val="a3"/>
        <w:tblW w:w="9495" w:type="dxa"/>
        <w:tblLook w:val="04A0" w:firstRow="1" w:lastRow="0" w:firstColumn="1" w:lastColumn="0" w:noHBand="0" w:noVBand="1"/>
      </w:tblPr>
      <w:tblGrid>
        <w:gridCol w:w="2715"/>
        <w:gridCol w:w="2835"/>
        <w:gridCol w:w="3945"/>
      </w:tblGrid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outlineLvl w:val="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Оценка интенсивности запаха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Интенсивность запаха</w:t>
            </w: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outlineLvl w:val="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Характер проявления запаха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0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Никакого запаха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Ощутимый запах отсутствует 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I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Очень слабая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 не замечается потребителем, но обнаруживается при тщательном исследовании (при нагревании воды) 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II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Слабая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 обнаруживается потребителем, если обратить на это его внимание 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III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Заметная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 легко обнаруживается; вода неприятна для питья 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IV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Отчетливая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 обращает на себя внимание, может заставить воздержаться от питья </w:t>
            </w:r>
          </w:p>
        </w:tc>
      </w:tr>
      <w:tr w:rsidR="000D5F1C" w:rsidRPr="000D5F1C" w:rsidTr="000D5F1C">
        <w:tc>
          <w:tcPr>
            <w:tcW w:w="271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V </w:t>
            </w:r>
          </w:p>
        </w:tc>
        <w:tc>
          <w:tcPr>
            <w:tcW w:w="283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Очень сильная </w:t>
            </w:r>
          </w:p>
        </w:tc>
        <w:tc>
          <w:tcPr>
            <w:tcW w:w="3945" w:type="dxa"/>
            <w:hideMark/>
          </w:tcPr>
          <w:p w:rsidR="000D5F1C" w:rsidRPr="000D5F1C" w:rsidRDefault="000D5F1C" w:rsidP="000D5F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5F1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Запах очень сильный, такая вода непригодна для питья </w:t>
            </w:r>
          </w:p>
        </w:tc>
      </w:tr>
    </w:tbl>
    <w:tbl>
      <w:tblPr>
        <w:tblpPr w:leftFromText="180" w:rightFromText="180" w:horzAnchor="margin" w:tblpY="615"/>
        <w:tblW w:w="8700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4350"/>
        <w:gridCol w:w="4350"/>
      </w:tblGrid>
      <w:tr w:rsidR="00C72A4E" w:rsidRPr="00C72A4E" w:rsidTr="00C72A4E">
        <w:trPr>
          <w:tblCellSpacing w:w="0" w:type="dxa"/>
        </w:trPr>
        <w:tc>
          <w:tcPr>
            <w:tcW w:w="500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  <w:r w:rsidRPr="00C72A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Цветность воды</w:t>
            </w:r>
          </w:p>
        </w:tc>
      </w:tr>
      <w:tr w:rsidR="00C72A4E" w:rsidRPr="00C72A4E" w:rsidTr="00C72A4E">
        <w:trPr>
          <w:tblCellSpacing w:w="0" w:type="dxa"/>
        </w:trPr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Слабо-желтоватая</w:t>
            </w:r>
          </w:p>
        </w:tc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Коричневатая</w:t>
            </w:r>
          </w:p>
        </w:tc>
      </w:tr>
      <w:tr w:rsidR="00C72A4E" w:rsidRPr="00C72A4E" w:rsidTr="00C72A4E">
        <w:trPr>
          <w:tblCellSpacing w:w="0" w:type="dxa"/>
        </w:trPr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Светло-желтоватая</w:t>
            </w:r>
          </w:p>
        </w:tc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Красно-коричневатая</w:t>
            </w:r>
          </w:p>
        </w:tc>
      </w:tr>
      <w:tr w:rsidR="00C72A4E" w:rsidRPr="00C72A4E" w:rsidTr="00C72A4E">
        <w:trPr>
          <w:tblCellSpacing w:w="0" w:type="dxa"/>
        </w:trPr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Желтая</w:t>
            </w:r>
          </w:p>
        </w:tc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Другая (укажите какая)</w:t>
            </w:r>
          </w:p>
        </w:tc>
      </w:tr>
      <w:tr w:rsidR="00C72A4E" w:rsidRPr="00C72A4E" w:rsidTr="00C72A4E">
        <w:trPr>
          <w:tblCellSpacing w:w="0" w:type="dxa"/>
        </w:trPr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Интенсивно-желтая</w:t>
            </w:r>
          </w:p>
        </w:tc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C72A4E" w:rsidRPr="00C72A4E" w:rsidRDefault="00C72A4E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A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F1D40" w:rsidRPr="00C72A4E" w:rsidTr="00C72A4E">
        <w:trPr>
          <w:tblCellSpacing w:w="0" w:type="dxa"/>
        </w:trPr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F1D40" w:rsidRPr="00C72A4E" w:rsidRDefault="007F1D40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F1D40" w:rsidRPr="00C72A4E" w:rsidRDefault="007F1D40" w:rsidP="00C72A4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80E52" w:rsidRDefault="00080E52" w:rsidP="00080E5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F1D40" w:rsidRPr="007F1D40" w:rsidRDefault="007F1D40" w:rsidP="00080E5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7F1D40">
        <w:rPr>
          <w:rFonts w:ascii="Times New Roman" w:hAnsi="Times New Roman" w:cs="Times New Roman"/>
          <w:sz w:val="28"/>
          <w:szCs w:val="24"/>
        </w:rPr>
        <w:t>Оптимальной температурой воды для питьевых целей считается от 7 ° С</w:t>
      </w:r>
      <w:r w:rsidRPr="007F1D40">
        <w:rPr>
          <w:rFonts w:ascii="Times New Roman" w:hAnsi="Times New Roman" w:cs="Times New Roman"/>
          <w:sz w:val="28"/>
          <w:szCs w:val="24"/>
        </w:rPr>
        <w:br/>
        <w:t>до 11 ° С.</w:t>
      </w:r>
    </w:p>
    <w:p w:rsidR="00C72A4E" w:rsidRDefault="00C72A4E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2A4E" w:rsidRDefault="00C72A4E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2A4E" w:rsidRDefault="00C72A4E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55584" w:rsidRDefault="00E55584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Прозрачность воды</w:t>
      </w:r>
    </w:p>
    <w:p w:rsidR="003457F6" w:rsidRPr="003457F6" w:rsidRDefault="003457F6" w:rsidP="003457F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57F6">
        <w:rPr>
          <w:rFonts w:ascii="Times New Roman" w:eastAsia="Times New Roman" w:hAnsi="Times New Roman" w:cs="Times New Roman"/>
          <w:b/>
          <w:bCs/>
          <w:sz w:val="21"/>
          <w:szCs w:val="21"/>
          <w:lang w:eastAsia="ru-RU"/>
        </w:rPr>
        <w:t>Мутность и прозрачность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57F6">
        <w:rPr>
          <w:rFonts w:ascii="Times New Roman" w:eastAsia="Times New Roman" w:hAnsi="Times New Roman" w:cs="Times New Roman"/>
          <w:sz w:val="21"/>
          <w:szCs w:val="21"/>
          <w:lang w:eastAsia="ru-RU"/>
        </w:rPr>
        <w:t>    </w:t>
      </w: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Мутность воды вызвана присутствием тонкодисперсных примесей, обусловленных нерастворимыми или коллоидными неорганическими и органическими веществами различного происхождения. 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Качественное определение проводят описательно: мутность не заметна (отсутсвует), слабая опалесценция (</w:t>
      </w:r>
      <w:r w:rsidRPr="003457F6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>Прим.1</w:t>
      </w:r>
      <w:proofErr w:type="gramStart"/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>) ,</w:t>
      </w:r>
      <w:proofErr w:type="gramEnd"/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опалесценция, слабомутная, мутная или сильно мутная. В России мутность чаще всего измеряют </w:t>
      </w:r>
      <w:r w:rsidRPr="003457F6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>в нефелометрических единицах мутности НЕФ (NTU)</w:t>
      </w: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для небольших значений в пределах </w:t>
      </w:r>
      <w:r w:rsidRPr="003457F6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0-40 НЕФ (NTU)</w:t>
      </w: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, например для питьевой воды. В условиях большой мутности обычно применяется </w:t>
      </w:r>
      <w:r w:rsidRPr="003457F6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>измерение единиц мутности по формазину (ЕФМ).</w:t>
      </w: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Пределы измерений - </w:t>
      </w:r>
      <w:r w:rsidRPr="003457F6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40-400 ЕФМ.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 Когда вода имеет незначительные окраску и мутность, и их определение затруднительно, пользуются показателем "прозрачность".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Мера прозрачности - высота столба воды, при которой можно наблюдать опускаемую в воду белую пластину определенных размеров (диск Секки) или различать на белой бумаге шрифт определенного размера и типа (шрифт </w:t>
      </w:r>
      <w:r w:rsidRPr="003457F6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Снеллена). Результаты выражаются в сантиметрах (табл.1)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7F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1. Характеристика вод по прозрачности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0"/>
        <w:gridCol w:w="4669"/>
      </w:tblGrid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Прозрачность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Единица измерения, см</w:t>
            </w:r>
          </w:p>
        </w:tc>
      </w:tr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Прозрачная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Более 30</w:t>
            </w:r>
          </w:p>
        </w:tc>
      </w:tr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Маломутная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25 до 30</w:t>
            </w:r>
          </w:p>
        </w:tc>
      </w:tr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Средней мутности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20 до 25</w:t>
            </w:r>
          </w:p>
        </w:tc>
      </w:tr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Мутная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10 до 20</w:t>
            </w:r>
          </w:p>
        </w:tc>
      </w:tr>
      <w:tr w:rsidR="003457F6" w:rsidRPr="003457F6" w:rsidTr="003457F6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Очень мутная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3457F6" w:rsidRPr="003457F6" w:rsidRDefault="003457F6" w:rsidP="003457F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457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Менее 10</w:t>
            </w:r>
          </w:p>
        </w:tc>
      </w:tr>
    </w:tbl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57F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3457F6" w:rsidRPr="003457F6" w:rsidRDefault="003457F6" w:rsidP="003457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     Мутность не только отрицательно влиет на внешний вид воды. Главным отрицательным следствием высокой мутноти является то, что она защищает микроорганизмы </w:t>
      </w:r>
      <w:proofErr w:type="gramStart"/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>при  ультрафиолетовом</w:t>
      </w:r>
      <w:proofErr w:type="gramEnd"/>
      <w:r w:rsidRPr="003457F6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обеззараживании и стимулирует рост бактерий. Поэому во всех случаях, когда производится дезинфекция воды, мутность должна быть минимальной для обеспечения высокой эффективности этой процедуры. В соответсвии с гигиеническими требованиями к качеству питьевой воды мутность не должна превышать 1,5 мг/л по каолину.</w:t>
      </w: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C369D" w:rsidRPr="00AC369D" w:rsidRDefault="00AC369D" w:rsidP="00AC369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b/>
          <w:bCs/>
          <w:sz w:val="21"/>
          <w:szCs w:val="21"/>
          <w:lang w:eastAsia="ru-RU"/>
        </w:rPr>
        <w:t>Вкус и привкус</w:t>
      </w:r>
    </w:p>
    <w:p w:rsidR="00AC369D" w:rsidRP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sz w:val="21"/>
          <w:szCs w:val="21"/>
          <w:lang w:eastAsia="ru-RU"/>
        </w:rPr>
        <w:t xml:space="preserve">    </w:t>
      </w:r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 Интенсивность вкуса и привкуса определяется также по 6-балльной шкале (табл.4)</w:t>
      </w:r>
    </w:p>
    <w:p w:rsidR="00AC369D" w:rsidRP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Таблица 4. Характеристика вод по интенсивности вкуса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2"/>
        <w:gridCol w:w="3113"/>
        <w:gridCol w:w="3114"/>
      </w:tblGrid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Оценка вкуса и привкуса, баллы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Интенсивность вкуса и привкуса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Характер проявления вкуса и привкуса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Нет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не ощущается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Очень слабая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сразу ощущается потребителем, но обнаруживаются при тщательном тестировании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Слабая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замечаются, если обратить на это внимание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Заметная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легко замечаются и вызывают неодобрительный отзыв о воду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Отчетливая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обращают на себя внимание и заставляют воздержаться от питья</w:t>
            </w:r>
          </w:p>
        </w:tc>
      </w:tr>
      <w:tr w:rsidR="00AC369D" w:rsidRPr="00AC369D" w:rsidTr="00AC369D">
        <w:trPr>
          <w:tblCellSpacing w:w="0" w:type="dxa"/>
        </w:trPr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Очень сильная</w:t>
            </w:r>
          </w:p>
        </w:tc>
        <w:tc>
          <w:tcPr>
            <w:tcW w:w="31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C369D" w:rsidRPr="00AC369D" w:rsidRDefault="00AC369D" w:rsidP="00AC369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69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Вкус и привкус настолько сильны, что делают воду непригодной к употреблению</w:t>
            </w:r>
          </w:p>
        </w:tc>
      </w:tr>
    </w:tbl>
    <w:p w:rsidR="00AC369D" w:rsidRP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AC369D" w:rsidRP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Для питьевой воды допускаються значения показателй вкуса и привкуса не более 2 баллов.</w:t>
      </w:r>
    </w:p>
    <w:p w:rsidR="00AC369D" w:rsidRP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   </w:t>
      </w:r>
      <w:r w:rsidRPr="00AC369D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 xml:space="preserve">  Различают 4 вид вкусов:</w:t>
      </w:r>
    </w:p>
    <w:p w:rsidR="00AC369D" w:rsidRPr="00AC369D" w:rsidRDefault="00AC369D" w:rsidP="00AC369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соленый</w:t>
      </w:r>
      <w:proofErr w:type="gramEnd"/>
    </w:p>
    <w:p w:rsidR="00AC369D" w:rsidRPr="00AC369D" w:rsidRDefault="00AC369D" w:rsidP="00AC369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горький</w:t>
      </w:r>
      <w:proofErr w:type="gramEnd"/>
    </w:p>
    <w:p w:rsidR="00AC369D" w:rsidRPr="00AC369D" w:rsidRDefault="00AC369D" w:rsidP="00AC369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сладкий</w:t>
      </w:r>
      <w:proofErr w:type="gramEnd"/>
    </w:p>
    <w:p w:rsidR="00AC369D" w:rsidRPr="00AC369D" w:rsidRDefault="00AC369D" w:rsidP="00AC369D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кислый</w:t>
      </w:r>
      <w:proofErr w:type="gramEnd"/>
    </w:p>
    <w:p w:rsidR="00AC369D" w:rsidRDefault="00AC369D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Качественную характеристику оттенков вкусовых ощущений - привкуса - выражают описательно: хлорный, рыбный, горьковатый и так далее. Наиболее распространенный соленый вкус воды чащу всего обусловлен растворенным в воде хлоридом натрия, горький - сульфатом </w:t>
      </w:r>
      <w:proofErr w:type="gramStart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>магния,  кислый</w:t>
      </w:r>
      <w:proofErr w:type="gramEnd"/>
      <w:r w:rsidRPr="00AC369D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- избытком свободного диоксида углерода и т.д. </w:t>
      </w: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Водородный показатель (рН) </w:t>
      </w:r>
      <w:r w:rsidRPr="00B0507C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BCEA5F" wp14:editId="09F7563C">
            <wp:extent cx="2124075" cy="3819525"/>
            <wp:effectExtent l="0" t="0" r="9525" b="9525"/>
            <wp:docPr id="3" name="Рисунок 3" descr="https://r1.nubex.ru/s972-eed/f2304_57/ir_attachment_3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1.nubex.ru/s972-eed/f2304_57/ir_attachment_311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>   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Величина рН воды - один из важнейших показателей качества вод для определения тсабильности воды, ее накипеобразующих и коррозионных свойств, прогнозирования химических и биологических процессов, происходящих в природных водах. В зависимости от рН воду рационально делить на семь групп (табл.6)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Таблица 6. Классификация вод по рН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5"/>
        <w:gridCol w:w="2325"/>
      </w:tblGrid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Группа воды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рН</w:t>
            </w:r>
            <w:proofErr w:type="gramEnd"/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Сильнокислая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Менее 3,0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Кислая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3,0 до 5,0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Слабокислая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5,0 до 6,5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Нейтральная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6,5 до 7,5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Слабощелочная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7,5 до 8,5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Щелочная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8,5 до 9,5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Сильнощелочная</w:t>
            </w:r>
          </w:p>
        </w:tc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9,5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    От величины рН зависит развитие и жизнедеятельность многих организмов, агрессивное действие воды на металлы и бетон. Величина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рН  воды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также влияет на процессы превращения различных форм биогенных элементов, изменяет токсичность загрязняющих веществ.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В соответсвии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с  требованиями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к составу и свойствам питьевой воды, величина рН не должна выходить за пределы интервала значений 6,0-9,0. Контроль уровня рН особенно важен на всех стадиях водоочистки, так как его "уход"  в ту или иную сторону может не только существенно сказаться на запахе, привкусе и внешнем виде воды, но и повлиять на эффективность водоочистных мероприятий.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При низком рН вода обладает высокой коррозионной активностью, а при высоких уровнях (рН&gt;11) вода приобретает характерную мылкость, неприятный запах, вызывает раздражение глаз и кожи.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t>Минерализация</w:t>
      </w: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>    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18"/>
          <w:szCs w:val="18"/>
          <w:lang w:eastAsia="ru-RU"/>
        </w:rPr>
        <w:t>Минерализация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- суммарное содержание всех найденных при химическом анализе воды минеральных веществ. Минерализация природных вод, определяющая их удельную электропроводность, изменяется в широких пределах. 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lastRenderedPageBreak/>
        <w:t>Большинство рек имеет минерализацию от нескольких десятков миллиграммов в литре до нескольких сотен. Их удельная электропроводимость варьируется от 30 до 1500 мкСм/см. Минерализация подземных вод и соленых озер изменяется в интервале от 40-50 мг/л до сотен г/кг (плотность в этом случае уже значительно отличается от единицы). Удельная электропроводимость атмосферных осадков с минерализацией от 3 до 60 мг/л составляет значения 10-120 мкСм/см.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Таблица 7. Характеритика вод по минерализации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  <w:r w:rsidRPr="00B0507C">
        <w:rPr>
          <w:rFonts w:ascii="Times New Roman" w:eastAsia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5277F1B0" wp14:editId="6464EFF9">
            <wp:extent cx="1714500" cy="1714500"/>
            <wp:effectExtent l="0" t="0" r="0" b="0"/>
            <wp:docPr id="4" name="Рисунок 4" descr="https://r1.nubex.ru/s972-eed/f2310_9f/mineralizator_vo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r1.nubex.ru/s972-eed/f2310_9f/mineralizator_vod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 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5"/>
        <w:gridCol w:w="2625"/>
      </w:tblGrid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Группа воды</w:t>
            </w:r>
          </w:p>
        </w:tc>
        <w:tc>
          <w:tcPr>
            <w:tcW w:w="2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Единица измерения, г/л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Пресные</w:t>
            </w:r>
          </w:p>
        </w:tc>
        <w:tc>
          <w:tcPr>
            <w:tcW w:w="2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 1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Солоноватые</w:t>
            </w:r>
          </w:p>
        </w:tc>
        <w:tc>
          <w:tcPr>
            <w:tcW w:w="2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1 до 25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Соленые</w:t>
            </w:r>
          </w:p>
        </w:tc>
        <w:tc>
          <w:tcPr>
            <w:tcW w:w="2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25 до 50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Рассолы</w:t>
            </w:r>
          </w:p>
        </w:tc>
        <w:tc>
          <w:tcPr>
            <w:tcW w:w="26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50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 Предел пресных вод - 1 г/л - установлен в связи с тем, что при минерализации более этого значения вкус воды неприятен - соленый или горько-соленый.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18"/>
          <w:szCs w:val="18"/>
          <w:lang w:eastAsia="ru-RU"/>
        </w:rPr>
        <w:t xml:space="preserve">   Предел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- граница между солоноватыми и солеными водами - принят на том основании, что при минерализации около 25 г/л температура замерзания воды и температура наибольшей плотности морской воды совпадают, и при этом меняются некоторые свойства воды.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Граница 50 г/л между солеными водами и рассолами обусловлена тем, что соленость больше этого значения не бывает в морях; Такая соленость характерна только для соленых озер и некоторых подземных вод.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 xml:space="preserve">Таблица 8. Характеристика вод по общей минерализации (наиболее распространеннная </w:t>
      </w:r>
      <w:proofErr w:type="gramStart"/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градация)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lastRenderedPageBreak/>
        <w:t> </w:t>
      </w:r>
      <w:r w:rsidRPr="00B0507C">
        <w:rPr>
          <w:rFonts w:ascii="Times New Roman" w:eastAsia="Times New Roman" w:hAnsi="Times New Roman" w:cs="Times New Roman"/>
          <w:noProof/>
          <w:color w:val="0000FF"/>
          <w:sz w:val="18"/>
          <w:szCs w:val="18"/>
          <w:lang w:eastAsia="ru-RU"/>
        </w:rPr>
        <w:drawing>
          <wp:inline distT="0" distB="0" distL="0" distR="0" wp14:anchorId="5E7FC919" wp14:editId="6777A518">
            <wp:extent cx="9144000" cy="6858000"/>
            <wp:effectExtent l="0" t="0" r="0" b="0"/>
            <wp:docPr id="5" name="Рисунок 5" descr="https://r1.nubex.ru/s972-eed/f2303_51/img5.jp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1.nubex.ru/s972-eed/f2303_51/img5.jp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5"/>
        <w:gridCol w:w="3045"/>
      </w:tblGrid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Наименование воды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минерализация, г/л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Ультрапресная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 0,1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Пресная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0,1 до 1,0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Слабопресная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1,0 до 3,0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Соленая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3,0 до 10,0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Сильносоленая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10,0 до 50,0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Рассол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50,0 до 300,0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23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Ультрарассол</w:t>
            </w:r>
          </w:p>
        </w:tc>
        <w:tc>
          <w:tcPr>
            <w:tcW w:w="30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300,0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    В соответствии с гигиеническими требованиями к качеству питьевой воды суммарная минерализация не должна превышать 1000 мг/л. Вода содержащая большое количество солей, отрицательно влияет на растения и человека, 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lastRenderedPageBreak/>
        <w:t>вызывает образование накипи на стенках котлов, коррозию, засоление почв. Регулярное употребление высокоминерализированной воды приведет к болезням пищеварения, обмена веществ, повышеной сухости кожи.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t>Жесткость</w:t>
      </w: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>    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>  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 Жесткость воды обуславливается наличием в воде ионов кальция, магния, стронция, бария, железа, марганца. Но общее содержание в природных водах ионов кальция и магния несравнимо больше содержания всех других перечисленных ионов - и даже их суммы. Поэтому под жесткостью понимают сумму количеств ионов кальция и магния - общая жесткость, складывающаяся из значений карбонатной (временной, устраняемой кипячением) и некарбонатной (постоянной) жесткости. Первая вызвана присутствием в воде гидрокарбонатов кальция и магния, вторая - наличием сульфатов, хлоридов, силикатов, нитратов и фосфатов этих металлов. Однако при значении жесткости воды более 9 ммоль/л нужно учитывать содержание в воде стронция и других щелочноземельных металлов.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По стандарту ИСО 6107-1-8: 1996, включающему более 500 терминов, жесткость определяется как способность воды образовать пену мылом. Содержание в питьевой воде кальция и магния играет важнейшую роль для человеческого организма. Недостаточность кальция в организме негативно сказывается на функии сердечной мышцы и на активности некоторых ферментов. А недостаток содержания кальция в крови ведет к понижению возбуждаемости нервной системы и, как следствие, к возникновению судорог. Кальций необходим для формирования костных тканей, в том числе зубов. Соли магния тоже необходимы человеку, поскульку входят в ряд жизненно важных ферментов. Дефицит магния проводит к коронарной болезни сердца; с другой стороны, повышенное содержание магния угнетающе действуют на нервную систему, поражая двигательные нервные окончания.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По значению общей жесткости природные воды делят на группы (табл.9)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Таблица 9.  Классификация воды по жесткости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9"/>
        <w:gridCol w:w="4670"/>
      </w:tblGrid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Группа воды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Единица измерения, ммоль/л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Очень мягкая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 1,5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Мягкая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1,5 до 4,0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Средней жесткости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4 до 8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Жесткая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8 до 12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Очень жесткая</w:t>
            </w:r>
          </w:p>
        </w:tc>
        <w:tc>
          <w:tcPr>
            <w:tcW w:w="46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12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 В естественных условиях ионы кальция и магния определяющие жесткость, поступают в воду в результате взаимодействия растворенного диоксида углерода с карбонатными минералами и других процессов растворенияи химического выветривания горных пород. Источником этих ионов являются также микробиологические процессы, протекающие в почвах. Обычно преобладает жесткость, обусловленая ионами кальция (до 70%); однако в отдельных случаях магниевая жесткость может достигать 50-60%. Жесткость морской воды и океанов значительно выше (десятки ммоль/л). Жесткость поверхностных вод подвержена заметным сезонным колебаниям, достигая обычно наибольшего значения в конце зимы и наименьшего - в период половодья.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noProof/>
          <w:color w:val="0000FF"/>
          <w:sz w:val="18"/>
          <w:szCs w:val="18"/>
          <w:lang w:eastAsia="ru-RU"/>
        </w:rPr>
        <w:lastRenderedPageBreak/>
        <w:drawing>
          <wp:inline distT="0" distB="0" distL="0" distR="0" wp14:anchorId="6752ADF4" wp14:editId="759A8FE7">
            <wp:extent cx="9144000" cy="6858000"/>
            <wp:effectExtent l="0" t="0" r="0" b="0"/>
            <wp:docPr id="6" name="Рисунок 6" descr="https://r1.nubex.ru/s972-eed/f2302_68/img1.jpg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r1.nubex.ru/s972-eed/f2302_68/img1.jpg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     Росстандартом в качестве единицы жесткости воды установлен моль на кубический метр (моль/м</w:t>
      </w:r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3).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Один моль на кубический метр соответствует массовой концентрации эквивалентов ионов кальция 20,04 г/м</w:t>
      </w:r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3 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(мг/л) или ионов магния 12,153 г/м</w:t>
      </w:r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3 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(мг/л). Т.е., 1 моль/м</w:t>
      </w:r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3 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= 1 ммоль/л = 1 мг-экв/л - 1 мг-экв/дм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3 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.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В зарубежных странах широко используются такие единицы жесткости, как немецкий градус (do, dH), французский градус (fo), американский градус (ppm CaCO³).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Основные единицы жесткости воды и их соотношение: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49"/>
        <w:gridCol w:w="1115"/>
        <w:gridCol w:w="1317"/>
        <w:gridCol w:w="1200"/>
        <w:gridCol w:w="1443"/>
        <w:gridCol w:w="1821"/>
        <w:gridCol w:w="1394"/>
      </w:tblGrid>
      <w:tr w:rsidR="00B0507C" w:rsidRPr="00B0507C" w:rsidTr="00B0507C">
        <w:trPr>
          <w:tblCellSpacing w:w="0" w:type="dxa"/>
        </w:trPr>
        <w:tc>
          <w:tcPr>
            <w:tcW w:w="1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Моль/м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eastAsia="ru-RU"/>
              </w:rPr>
              <w:t xml:space="preserve">3 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(мг-экв/л)</w:t>
            </w:r>
          </w:p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Немецкий градус, do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Французский </w:t>
            </w:r>
            <w:proofErr w:type="gramStart"/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градус,fo</w:t>
            </w:r>
            <w:proofErr w:type="gramEnd"/>
          </w:p>
        </w:tc>
        <w:tc>
          <w:tcPr>
            <w:tcW w:w="13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Английский градус</w:t>
            </w:r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Американский градус</w:t>
            </w:r>
          </w:p>
        </w:tc>
        <w:tc>
          <w:tcPr>
            <w:tcW w:w="22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gpg (grain per gallon,</w:t>
            </w:r>
          </w:p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или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 xml:space="preserve"> 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грэйн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/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галлон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)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Ppm (мг/л) CaCO</w:t>
            </w: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eastAsia="ru-RU"/>
              </w:rPr>
              <w:t>3</w:t>
            </w:r>
          </w:p>
        </w:tc>
      </w:tr>
      <w:tr w:rsidR="00B0507C" w:rsidRPr="00B0507C" w:rsidTr="00B0507C">
        <w:trPr>
          <w:tblCellSpacing w:w="0" w:type="dxa"/>
        </w:trPr>
        <w:tc>
          <w:tcPr>
            <w:tcW w:w="1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1.000</w:t>
            </w:r>
          </w:p>
        </w:tc>
        <w:tc>
          <w:tcPr>
            <w:tcW w:w="127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2.804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5.005</w:t>
            </w:r>
          </w:p>
        </w:tc>
        <w:tc>
          <w:tcPr>
            <w:tcW w:w="13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3.511</w:t>
            </w:r>
          </w:p>
        </w:tc>
        <w:tc>
          <w:tcPr>
            <w:tcW w:w="15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50.050</w:t>
            </w:r>
          </w:p>
        </w:tc>
        <w:tc>
          <w:tcPr>
            <w:tcW w:w="22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2.920</w:t>
            </w:r>
          </w:p>
        </w:tc>
        <w:tc>
          <w:tcPr>
            <w:tcW w:w="18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50.050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 xml:space="preserve">  </w:t>
      </w: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Прим.1 Опалесценция</w:t>
      </w:r>
      <w:r w:rsidRPr="00B0507C">
        <w:rPr>
          <w:rFonts w:ascii="Times New Roman" w:eastAsia="Times New Roman" w:hAnsi="Times New Roman" w:cs="Times New Roman"/>
          <w:b/>
          <w:bCs/>
          <w:sz w:val="21"/>
          <w:szCs w:val="21"/>
          <w:lang w:eastAsia="ru-RU"/>
        </w:rPr>
        <w:t xml:space="preserve"> -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"[опал + лат. -escenua суффикс, означающий слабое действие] — физ. явление рассеяния света мутной средой, обусловленное ее оптической неоднородностью; наблюдается, 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напр. ,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освещении большинства коллоидных растворов, а также у веществ в критическом состоянии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Опалесценция критическая 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резкое усиление рассеяния света чистыми веществами (газами или жидкостями) в критических состояниях, а также растворами при достижении ими критических точек смешения.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Повышенная жесткость воды негативно отражается на здоровье человека. В быту появление накипи приводит к уменьшению срока слыжбы водонагревателей, ухудшаются моющие свойства мыла и стиральных порошков, из-за горьковатого привкуса ухудшаются вкусовые свойства воды.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Порог вкуса для иона кальция лежит в диапазоне 2-6 ммоль/л, в зависимости от соответствующего аниона. Порог вкуса для магния и того ниже, наилучшие вкусовые свойства имеет вода с жсткостью 1,6-3,0 ммоль/л.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Всемирная организация здравоохранения (ВОЗ) не регламентирует величину жесткости по показаниям влияния на здоровье. В материалах ВОЗ говориться о том, что несмотря на выявленную статистическим путем зависимость между жесткостью питьевой воды и сердечно-сосудистыми заболеваниями, этих данных недостаточно для вывода о причинном характере этой связи. Однозначно не доказано и то, что мягкая вода оказывает отрицательный эффект на баланс минеральных веществ в организме человека.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Растворенный кислород</w:t>
      </w:r>
      <w:r w:rsidRPr="00B0507C">
        <w:rPr>
          <w:rFonts w:ascii="Times New Roman" w:eastAsia="Times New Roman" w:hAnsi="Times New Roman" w:cs="Times New Roman"/>
          <w:sz w:val="21"/>
          <w:szCs w:val="21"/>
          <w:lang w:eastAsia="ru-RU"/>
        </w:rPr>
        <w:t>  </w:t>
      </w:r>
      <w:r w:rsidRPr="00B0507C">
        <w:rPr>
          <w:rFonts w:ascii="Times New Roman" w:eastAsia="Times New Roman" w:hAnsi="Times New Roman" w:cs="Times New Roman"/>
          <w:noProof/>
          <w:sz w:val="21"/>
          <w:szCs w:val="21"/>
          <w:lang w:eastAsia="ru-RU"/>
        </w:rPr>
        <w:drawing>
          <wp:inline distT="0" distB="0" distL="0" distR="0" wp14:anchorId="69E85CBA" wp14:editId="3DC684CF">
            <wp:extent cx="7620000" cy="5715000"/>
            <wp:effectExtent l="0" t="0" r="0" b="0"/>
            <wp:docPr id="7" name="Рисунок 7" descr="https://r1.nubex.ru/s972-eed/f2285_64/L02p2p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1.nubex.ru/s972-eed/f2285_64/L02p2p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Поступление кислорода в водоем происходит путем растворения его при контакте с воздухом (абсорбции), а также в результате фотосинтеза водными растениями, т.е. в результате физико-химических и биохимических процессов.  Содержание растворенного кислорода зависит от температуры, атмосферного давления, степени </w:t>
      </w:r>
      <w:r w:rsidRPr="00B0507C">
        <w:rPr>
          <w:rFonts w:ascii="Times New Roman" w:eastAsia="Times New Roman" w:hAnsi="Times New Roman" w:cs="Times New Roman"/>
          <w:i/>
          <w:iCs/>
          <w:sz w:val="18"/>
          <w:szCs w:val="18"/>
          <w:u w:val="single"/>
          <w:lang w:eastAsia="ru-RU"/>
        </w:rPr>
        <w:t>турбулизации воды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*, минерализации воды и др. В поверхностных водах содержание растворенного кислорода может колебаться от 0 до 14 мг/л и подвержено значительным сезонным суточным колебаниям. В зимний и летний периоды количество кислорода в воде различается. Дефицит кислорода чаще наблюдается в водных объектах с высокими концентрациями загрязняющих органических веществ и в водоемах, содержащих большое количество биогенных и гумусовых веществ. ПДК растворенного в воде кислорода для рыбохозяйственных водоемов - 6 мг/л (для ценных пород рыбы) и 4 мг/л (для остальных пород рыбы).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Скорость потребления кислорода увеличивается с повышением температуры, количества организмов и веществ, подвергающихся химическому и биохимическому окислению.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Концентрация кислорода в воде определяет направление и скорость процессов химического и биохимического окисления органических и неорганических соединений. Понижение содержания кислорода до 2 мг/л вызывает массовую гибель рыбы в водоемах. Неблагоприятно сказывается на состоянии водных объектов и чрезмерное насыщение воды кислородом в результате процессов фотосинтеза, если это происходит в водоемах с застойной водой.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Содержание кислорода в водоемах с различной степенью загрязненности: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lastRenderedPageBreak/>
        <w:t>Таблица 10. Уровень загрязнения воды и класс качества</w:t>
      </w:r>
    </w:p>
    <w:tbl>
      <w:tblPr>
        <w:tblW w:w="7500" w:type="dxa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10"/>
        <w:gridCol w:w="1226"/>
        <w:gridCol w:w="1261"/>
        <w:gridCol w:w="1703"/>
      </w:tblGrid>
      <w:tr w:rsidR="00B0507C" w:rsidRPr="00B0507C" w:rsidTr="00B0507C">
        <w:trPr>
          <w:tblCellSpacing w:w="7" w:type="dxa"/>
        </w:trPr>
        <w:tc>
          <w:tcPr>
            <w:tcW w:w="0" w:type="auto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Растворенный кислород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чистые, 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лето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мг/л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зима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мг/л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 насыщения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Чистые, 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14-13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Умеренно загрязненные, III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12-11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Загрязненные, IV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7-6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10-9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Грязные, 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грязные, VI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3-2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5-1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*Турбулизация</w:t>
      </w:r>
      <w:r w:rsidRPr="00B0507C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 к нарушению поверхностного натяжения воды. При этом разрывается поверхностная пленка и облегчается выход газов из воды. Благодаря турбулентному движению происходит перемешивание частиц воды и непрерывное обновление поверхности соприкосновения воды с паром. Это ускоряет выход газа из воды и переход его в пар. Турбулизация движения воды создается потоком пара, пересекающим струи воды.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t> Биогенные элементы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Вопросы контроля качества воды внесли в понятие биогенных элементов широкий смысл: к ним относят соединения (точнее, компоненты воды), которые, во-первых, являются продуктами жизнедеятельности различных организмов; во-вторых, являются "строительным материалом" для живых организмов. В первую очередь к ним относятся соединения азота (нитраты, нитриты, органические и неорганические аммонийные соединения), фосфора (ортофосфаты, полифосфаты, органические эфиры фосфорной кислоты и др.).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Соединение серы интересны в этой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связи,в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меньшей степени, так как сульфаты уже расматривали в аспекте компонента минерального состава воды, а сульфиды и гидросульфиты, если приутствуют в природных водах, то в очень малых концентрациях и могут быть обнаружены по запаху.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Нитраты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123A4BC7" wp14:editId="57F6FA14">
            <wp:extent cx="4762500" cy="2981325"/>
            <wp:effectExtent l="0" t="0" r="0" b="9525"/>
            <wp:docPr id="8" name="Рисунок 8" descr="https://r1.nubex.ru/s972-eed/f2284_e9/1375794426_yakis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r1.nubex.ru/s972-eed/f2284_e9/1375794426_yakist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Нитраты являются солями азотной кислоты. Повышенное содержание нитратов в воде может служить индикатором загрязнения водоема в 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lastRenderedPageBreak/>
        <w:t xml:space="preserve">результате распространения фекальных либо химических загрязнений (сельскохозяйственных, промышленных). Согласно СанПин 2.1.4.1074-01 для питьевой воды ПДК нитратов составляет 45 мг/л. Питьвая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вода  и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продукты питания, содержание повышенное количество нитратов, могут вызывать заболевания, в первую очередь у младенцев (так называемая метгемоглобинемия), а также  людей, страдающих сердечно-сосудистыми заболеваниями. Допустимое суточное потребление по рекомендациям ВОЗ - 5 мг/кг массы. В этом случае особенно опасны грунтовые воды и питаемые ими колодцы, поскольку в открытых водоемах нитраты частично потребляются водными растениями. Вместе с тем, растения не так чувствительны к увеличению содержания в воде азота, как фосфора.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</w:t>
      </w: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Фосфаты и общий фосфор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    Фосфор является необходимым элементом для жизни, однако его избыток приводит к ускорению </w:t>
      </w:r>
      <w:r w:rsidRPr="00B0507C">
        <w:rPr>
          <w:rFonts w:ascii="Times New Roman" w:eastAsia="Times New Roman" w:hAnsi="Times New Roman" w:cs="Times New Roman"/>
          <w:i/>
          <w:iCs/>
          <w:sz w:val="18"/>
          <w:szCs w:val="18"/>
          <w:u w:val="single"/>
          <w:lang w:eastAsia="ru-RU"/>
        </w:rPr>
        <w:t>эвтрофикации водоемов**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. Большие количества форсфора могу попадать в водоемы в результате естесственных и антропогенных процессов - поверхностной эрозии почв, неправильного или избыточного применения минеральных удобрений и др.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ПДК полифосфатов в воде водоемов составляет 3,5 мг/л в пересчете на фосфат-ион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РО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4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-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лимитирующий показатель вредности - органолептический.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Биохимическая потребность в кислороде (БПК)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  БПК - показатель качества воды, характеризующий суммарное содержание в воде органических веществ. Природными источниками органических веществ являются разрушающиеся останки организмов растительного и животного происхождения, как живших в воде, так и попавших в 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водоем  с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листвы, по воздуху, с берегов и т.п. Кроме природных, существуют также техногенные источники органических веществ.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В естественных условиях находящиеся в воде органические вещества разрушаются бактериями с образованием двуокиси углерода. При этом на окисление потребляется растворенный в воде кислород. Таким образом, в процессе биохимического окисления органических веществ в воде происходит уменьшение концентрации кислорода, и эта убыль косвенно является мерой содержания в воде органических веществ.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Чаще определяют биохимическое потребление кислорода за пять суток - БПК5, и, как правило, этот показатель в поверхностных водоемах находится в пределах 0,5-4,0 мг/л.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Таблица 11. Характеристика вод по БПК5</w:t>
      </w:r>
    </w:p>
    <w:tbl>
      <w:tblPr>
        <w:tblW w:w="7500" w:type="dxa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37"/>
        <w:gridCol w:w="2363"/>
      </w:tblGrid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Степень загрязнения (класс чистоты)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БПК5, </w:t>
            </w:r>
            <w:proofErr w:type="gramStart"/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мг  О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bscript"/>
                <w:lang w:eastAsia="ru-RU"/>
              </w:rPr>
              <w:t>2</w:t>
            </w: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/дм</w:t>
            </w: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bscript"/>
                <w:lang w:eastAsia="ru-RU"/>
              </w:rPr>
              <w:t>3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чистая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0,5-1,0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1,1-1,9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Умеренно загрязненная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2,0-2,9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Загрязненная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3,0-3,9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Грязная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4,0-10,0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грязная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10,0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Особенностью биохимического окисления органических веществ в воде является сопутствующий ему процесс нитрификации (окисление азотосодержащих соединений нитрофицирующими бактериями), искажающий характер потребления кислорода.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Норматив на БПК для водоемов хозяйственно-питьевого водопользования - 3 мг/л, для водоемов культурно-бытового водопользования - 6 мг/л.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Аммоний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Катионы аммония являются продуктом микробиологического разложения белков животного и растительного происхождения. Образовавшийся таким образом аммоний вновь вовлекается в процесс синтеза белков. По этой причине аммоний и его соединения в небольших концентрациях обычно присутствуют в природных водоемах.</w:t>
      </w:r>
      <w:r w:rsidRPr="00B0507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79BC9A" wp14:editId="5CD7DEF3">
            <wp:extent cx="5743575" cy="3076575"/>
            <wp:effectExtent l="0" t="0" r="9525" b="9525"/>
            <wp:docPr id="9" name="Рисунок 9" descr="https://r1.nubex.ru/s972-eed/f2265_fc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r1.nubex.ru/s972-eed/f2265_fc/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Аммонийные соединения в больших количествах входят в состав минеральных и органических удобрений, кроме того, аммонийные соединения в значительных количествах присутсвуют в нечистотах (фекалиях). По этим причинам повышенное содержание аммонийного азота в поверхностных водах обячно является признаком хозяйственно-фекальных загрязнений.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ПДК аммиака и ионов аммония в воде водоемов составляет 2,6 мг/л. Согласно СанПин 2.1.45.1074-01 ПДК аммония в питьевой воде составляет 2,0 мг/л. По данным ВОЗ, сожержание аммония не должно превышать 0,5 мг/л. Постоянный прием внутрь воды с повышенным содержанием аммония вызывает хронический ацидоз и изменения в тканях.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Нитриты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    Нитритами называются соли азотистой кислоты. Нитрит-анионы являются промежуточными продуктами биологического разложения азотсодержащих органических соединений. Благодаря способности превращаться в нитраты, нитриты, как правило, отсутствуют в поверхностных водах. ПДК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нитритов (по NO</w:t>
      </w:r>
      <w:r w:rsidRPr="00B0507C">
        <w:rPr>
          <w:rFonts w:ascii="Times New Roman" w:eastAsia="Times New Roman" w:hAnsi="Times New Roman" w:cs="Times New Roman"/>
          <w:sz w:val="18"/>
          <w:szCs w:val="18"/>
          <w:vertAlign w:val="superscript"/>
          <w:lang w:eastAsia="ru-RU"/>
        </w:rPr>
        <w:t>2-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) в воде водоемов составляет 3,3 мг/л, для питьевой воды – 2,0 мг/л. 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noProof/>
          <w:color w:val="0000FF"/>
          <w:sz w:val="18"/>
          <w:szCs w:val="18"/>
          <w:lang w:eastAsia="ru-RU"/>
        </w:rPr>
        <w:lastRenderedPageBreak/>
        <w:drawing>
          <wp:inline distT="0" distB="0" distL="0" distR="0" wp14:anchorId="16453956" wp14:editId="73722D33">
            <wp:extent cx="6858000" cy="5143500"/>
            <wp:effectExtent l="0" t="0" r="0" b="0"/>
            <wp:docPr id="10" name="Рисунок 10" descr="https://r1.nubex.ru/s972-eed/f2283_89/bolezni_ryb_10.jpg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r1.nubex.ru/s972-eed/f2283_89/bolezni_ryb_10.jpg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Фтор (фториды)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    Фтор в виде фторидов может содержаться в природных и грунтовых водах. Избыток фтора в организме вызывают разрушение зубной эмали, осаждает кальций, что приводит к нарушениям кальциевого и фосфорного обмена. По этим причинам определение фтора в питьевой воде, а также грунтовых водах (например, воде колодцев и артезианских скважин) и воде водоемов хозяйственно-питевого назначения, является очень важным. ПДК фтора в питьевой воде для разных климатических районов составляет от 0,7 до 1,5 мг/л.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t>Металлы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Железо общее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ru-RU"/>
        </w:rPr>
        <w:lastRenderedPageBreak/>
        <w:drawing>
          <wp:inline distT="0" distB="0" distL="0" distR="0" wp14:anchorId="78B56677" wp14:editId="7B108D16">
            <wp:extent cx="9753600" cy="5105400"/>
            <wp:effectExtent l="0" t="0" r="0" b="0"/>
            <wp:docPr id="11" name="Рисунок 11" descr="https://r1.nubex.ru/s972-eed/f2282_45/opasnost-bolshogo-kolichestva-zheleza-v-vo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r1.nubex.ru/s972-eed/f2282_45/opasnost-bolshogo-kolichestva-zheleza-v-vode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07C">
        <w:rPr>
          <w:rFonts w:ascii="Times New Roman" w:eastAsia="Times New Roman" w:hAnsi="Times New Roman" w:cs="Times New Roman"/>
          <w:b/>
          <w:bCs/>
          <w:noProof/>
          <w:color w:val="0000FF"/>
          <w:sz w:val="18"/>
          <w:szCs w:val="18"/>
          <w:lang w:eastAsia="ru-RU"/>
        </w:rPr>
        <w:lastRenderedPageBreak/>
        <w:drawing>
          <wp:inline distT="0" distB="0" distL="0" distR="0" wp14:anchorId="6228D558" wp14:editId="78C73770">
            <wp:extent cx="10477500" cy="5114925"/>
            <wp:effectExtent l="0" t="0" r="0" b="9525"/>
            <wp:docPr id="12" name="Рисунок 12" descr="https://r1.nubex.ru/s972-eed/f2281_38/5217868_orig.jpg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r1.nubex.ru/s972-eed/f2281_38/5217868_orig.jpg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          Железо - один из самых распространенных элементов в природе. Его содержание в земной коре составляет около 4,7 % по массе, поэтому железо, с точки зрения его распространенности в природе, принято называть </w:t>
      </w:r>
      <w:r w:rsidRPr="00B0507C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>макроэлементом.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i/>
          <w:iCs/>
          <w:sz w:val="18"/>
          <w:szCs w:val="18"/>
          <w:lang w:eastAsia="ru-RU"/>
        </w:rPr>
        <w:t xml:space="preserve">   </w:t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В природной воде железо содержится в виде соединений, в которых железо может быть двух- или трехвалентным. В свою очередь, соединения железа могут образовывать истинные или коллоидные растворы. На воздухе двухвалентное железо быстро окисляется до трехвалентного, растворы которого имеют бурую окраску.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Таким образом, поскольку соединения железа в воде могут существовать в различных формах, точные результаты могут быть получены только при определении суммарного железа во всех его формах, так называемого "общего железа", хотя иногда возникает необходимость определить железо в его индивидуальных формах.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Двухвалентное железо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(Fe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2+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)  почти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всегда находится в воде в растворенном состоянии, хотя возможны случаи при определенных уровнях рН, когда гидроксид железа (II) выпадает в осадок. Реакция окисления (Fe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2+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proofErr w:type="gramStart"/>
      <w:r w:rsidRPr="00B0507C">
        <w:rPr>
          <w:rFonts w:ascii="Cambria Math" w:eastAsia="Times New Roman" w:hAnsi="Cambria Math" w:cs="Cambria Math"/>
          <w:sz w:val="24"/>
          <w:szCs w:val="24"/>
          <w:lang w:eastAsia="ru-RU"/>
        </w:rPr>
        <w:t>⇔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(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Fe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3+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) широко распространена в природе. Трехвалентное железо (Fe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3+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)  -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гидроксид железа (III), Fe(OH)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- нерастворим в воде. Органическое железо встречается в воде в разных формах и в составе разных комплексов. Органические соединения железа, как правило, растворимы или имеют коллоидную структуру и очень трудно поддаются удалению.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    Железобактерии встречаются практически везде. Их "визитной карточкой" можно считать ржавую слизь, покрывающие трубу водопровода.</w:t>
      </w:r>
      <w:r w:rsidRPr="00B0507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8D8362" wp14:editId="6BEB8E13">
            <wp:extent cx="4457700" cy="4086225"/>
            <wp:effectExtent l="0" t="0" r="0" b="9525"/>
            <wp:docPr id="13" name="Рисунок 13" descr="https://r1.nubex.ru/s972-eed/f2280_18/iron-water-pip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r1.nubex.ru/s972-eed/f2280_18/iron-water-pipe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Некоторые виды бактерий (например, Gallionella ferruginea,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вид  стебельчатых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, лентоподобных бактерий) "питаюся" растворенным железом в процессе своей жизнедеятельности. При этом происходит преобразование двухвалентного железа в трехвалентное, которое сохраняется в желеобразной оболочке вокруг бактерии, при отмирании железобактерии откладываются в вышеупомянутой слизи.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 Коллоидное железо - это нерастворимые, невидимые глазу частицы размером менее 1 микрона. Из-за малогог размера их очень сложно удалить фильтрованием с помощью гранулированных фильтрующих материалов. Крупные органические молекулы (такие как танины и лигнины) также попадают в эту категорию. Коллоидные частицы из-за своего малого размера и высокого поверхностного заряда, отталкивающего частицы друг от друга и препятсвующие их укрупнению, создают в воде суспензии, которые не выпадают в осадок, а находятся во взвешенном состояни. Коллоидное железо характерно для поверхностных вод (коллоиды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Fe(OH)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)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 Некоторые органические молекулы способны связывать железо в сложные растворимые комплексы, называемые </w:t>
      </w: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хелатами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. Так, прекрасными хелатообразующими агентами являются фульво- и гуминовые кислоты, играющие важную роль в почвенном ионообмене.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Основной формой железа в поверхностных водах являются комплексные соединения трехвалентных ионов железа с растворенными неорганическими и органическими соединениями, главным образом с солями гуминовых кислот - гуматами. В болотных водах, где много гумусовых веществ, всегда много железа. При рН = 8,0 основной формой железа в воде является гидроксид железа Fe(OH)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находящаяся во взвешенной коллоидной форме. В подземных водах железо присутсвует в основном в растворенном двухвалентном виде. Трехвалентное железо при определенных условиях также может присутсвовать в воде в растворенном виде как в форме неорганических солей (например, сульфатов), так и в составе растворимых органических комплексов.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    Согласно СанПин 2.1.4.1074-01 содержание железа не должно превышать 0,3 мг/л (а по нормам Европейского сообщества даже 0,2 мг/л). При уровне установленного ВОЗ переносимого суточного потребления (ПСП) железа, равном 0,8 мг/кг массы тела человека, безопасное для здоровья суммарное содержание железа в воде составляет 2 мг/л. Избыток железа, в первую очередь, оказывает токсичное влияние на печень, селезенку, головной мозг; может усиливать протекание воспалительных процессов.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 </w:t>
      </w:r>
      <w:r w:rsidRPr="00B0507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F62E73" wp14:editId="5466C4EC">
            <wp:extent cx="7658100" cy="6000750"/>
            <wp:effectExtent l="0" t="0" r="0" b="0"/>
            <wp:docPr id="14" name="Рисунок 14" descr="https://r1.nubex.ru/s972-eed/f2279_9a/anemia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r1.nubex.ru/s972-eed/f2279_9a/anemia_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6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 Дефицит железа в организме приводит к анемии, патологиям сердечной мышцы и скелетных мышц, а также может быть причиной снижения иммунитета. Железо незаменимо в процессах кроветворения и внутриклеточного обмена.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Тяжелые металлы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   Понятие "Тяжелые металлы" не относится к строго определенным. Разные авторы в составе группы тяжелых металлов указывают разные химические элементы.  В 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экологических публикациях в эту группу включают около 40 элементов с атомной массой более 50 атомных единиц.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Н.Ф.Реймерс относит к тяжелым металлы с плотностью более 8 г/см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 выделяя при этом подгруппу благородных металлов. Таким образом, к собственно "тяжелым" отнесены медь, никель, кадмий, кобальт, висмут, ртуть и свинец.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Группа специалистов, работающая под патронажем Европейской экономической комиссии ООН и занимающаяся мониторингом выбросов в окружающую природную среду тяжелых металлов, включает в эту группу также цинк, мышьяк, селен, сурьму.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Есть и другие классификации. Тяжелые металлы по характеру биологического воздействия можно подразделить на токсиканты и микроэлементы, имеющие принципиально различный характер влияния на живые организмы. Токсиканты оказывают отрицательное воздействие на организмы при любой концентрации, в то время как микроэлементы имеют область недостаточности, вызывющей отрицательный эффект, и область необходимых для жизни концентраций, при превышении которых снова возникает отрицательный эффект. Типичными токсикантами являются: кадмий, свинец, ртуть; микроэлементами - марганец, медь, кобальт.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Медь.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Является микроэлементом, содержится в организме человека, главным 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образом,в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виде комплексных органических соединений и играет важную роль в процессах кроветворения.  Отравления соединениями меди могут приводить к расстройствам нервной системы, нарушению функций печени, почек и д.т. ПДК меди 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в  воде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водоемов хозяйственно-питьевого или культурно-бытового назначения составляет 1,0 мг/л, лимитирующий показатель вредности - органолептический.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Цинк.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 микроэлементом и входит в состав некоторых ферментов. Отрицательное воздействие соединений цинка может выражаться в ослаблении организма, повышенной заболеваемости, астмоподобных явлениях и др. ПДК цинка в воде водоемов составляет 1,0 мг/л, лимитирующий показатель вредности - общесанитарный.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Кадмий.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Соединения кадмия очень ядовиты. Действуют на многие системы организма - органы дыхания и желудочно-кишечный тракт, центральную и периферическую нервные системы. ПДК кадмия в воде водоемов составляет 0,001 мг/л, лимитирующий показатель вредности - санитарно-токсикологический.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    Ртуть.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Относится к ультрамикроэлементам и постоянно присутствует в организме, поступая с пищей. Соединения ртути вызывают глубокие нарушения функцийцентральной нервной системы (ЦНС), сердца, сосудов, нарушение иммунной системы орагнизма и другие. ПДК ртути в воде водоемов составляет 0,0005 мг/л, лимитирующий показатель вредности - санитарно-токсикологический.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</w:t>
      </w:r>
      <w:r w:rsidRPr="00B0507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Свинец. 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Соединения свинца - яды, действующие на все живое, но вызывающие изменения особенно в нервной системе, крови и сосудов. Органические соединения свинца (тетраметилсвинец, тетраэтилсвинец) - сильные нервные язы, являются активными ингибиторами обменных процессов. Для всех соединений свинца характерно кумулятивное действие. ПДК свинца в воде водоемов составляет 0,03 мг/л, лимитирующий показатель вредности - санитарно-токсикологический.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Органические вещества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 </w:t>
      </w:r>
      <w:r w:rsidRPr="00B0507C">
        <w:rPr>
          <w:rFonts w:ascii="Times New Roman" w:eastAsia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5D60E88A" wp14:editId="1C0E311B">
            <wp:extent cx="7839075" cy="5524500"/>
            <wp:effectExtent l="0" t="0" r="9525" b="0"/>
            <wp:docPr id="15" name="Рисунок 15" descr="https://r1.nubex.ru/s972-eed/f2277_e1/ice-water-with-germ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r1.nubex.ru/s972-eed/f2277_e1/ice-water-with-germs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90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Спектр органических примесей очень широк: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Группа растворенных примесей:</w:t>
      </w:r>
    </w:p>
    <w:p w:rsidR="00B0507C" w:rsidRPr="00B0507C" w:rsidRDefault="00B0507C" w:rsidP="00B0507C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гуминовые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кислоты и их слои;</w:t>
      </w:r>
    </w:p>
    <w:p w:rsidR="00B0507C" w:rsidRPr="00B0507C" w:rsidRDefault="00B0507C" w:rsidP="00B0507C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гуматы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натрия, калия аммония;</w:t>
      </w:r>
    </w:p>
    <w:p w:rsidR="00B0507C" w:rsidRPr="00B0507C" w:rsidRDefault="00B0507C" w:rsidP="00B0507C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некоторые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примеси промышленного происхождения;</w:t>
      </w:r>
    </w:p>
    <w:p w:rsidR="00B0507C" w:rsidRPr="00B0507C" w:rsidRDefault="00B0507C" w:rsidP="00B0507C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часть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аминокислот и белков;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Группа нерастворенных примесей:</w:t>
      </w:r>
    </w:p>
    <w:p w:rsidR="00B0507C" w:rsidRPr="00B0507C" w:rsidRDefault="00B0507C" w:rsidP="00B0507C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фульвокислоты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(соли) и гуминовые кислоты и их соли;</w:t>
      </w:r>
    </w:p>
    <w:p w:rsidR="00B0507C" w:rsidRPr="00B0507C" w:rsidRDefault="00B0507C" w:rsidP="00B0507C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гуматы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кальция, магния и железа;</w:t>
      </w:r>
    </w:p>
    <w:p w:rsidR="00B0507C" w:rsidRPr="00B0507C" w:rsidRDefault="00B0507C" w:rsidP="00B0507C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жиры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различного происхождения;</w:t>
      </w:r>
    </w:p>
    <w:p w:rsidR="00B0507C" w:rsidRPr="00B0507C" w:rsidRDefault="00B0507C" w:rsidP="00B0507C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частицы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различного происхождения, в том числе микроорганизмы.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    Содержание органических веществ в воде оченивается по методикам определения окисляемости воды, содержания органического углерода, биохимической потребности в кислороде, а также поглощения в ультрафиолетовой области.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Величина, характеризующая содержание в воде органических и минеральных веществ, окисляемых одним из самых сильных окислителей при определенных условиях, называется </w:t>
      </w: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окисляемостью.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Существует несколько видов окисляемости воды: перманганатная, бихроматная, иодатная, цериевая (методики определения двух последних применяются редко).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Окислители могут действовать и на неорганические примеси, например, на ионы Fe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2+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 S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2-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 NO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-2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, но соотношение между этими ионами и органическими примесями в поверхностных водах существенно сдвинуто в сторону органических примесей, т.е. "органики" в решающей степени больше.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В подземных водах (артезианских) это соотношение - обратное, т.е.органических примесей гораздо меньше, чем указанных ионов. Практически их нет совсем. К тому же неорганческие примеси могут определяться непосредственно индивидуально.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Для природных малозагрезненных вод рекомендовано определять перманганатную окисляемость (перманганатный индекс); в более загрязненных водах определяют, как правило, бихроматную окисляемость (ХПК).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Окисляемость перманганатная определяется мгО/л, если учитывается масса ионов кислорода в составе перманганата калия, пошедшего на окисление "органики", или мг KMnO</w:t>
      </w:r>
      <w:r w:rsidRPr="00B0507C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4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/л, если оценивается количество перманганата калия, пошедшего на окисление "органики".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Таблица 12. Характеристика вод по перманганатной окисляемости</w:t>
      </w:r>
    </w:p>
    <w:tbl>
      <w:tblPr>
        <w:tblW w:w="7500" w:type="dxa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21"/>
        <w:gridCol w:w="3979"/>
      </w:tblGrid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Величина окисляемости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Единица измерения, мг О/л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малая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Малая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4 до 8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Средняя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8 до 12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12 до 20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высокая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</w:t>
            </w:r>
            <w:proofErr w:type="gramEnd"/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30"/>
          <w:szCs w:val="30"/>
          <w:lang w:eastAsia="ru-RU"/>
        </w:rPr>
        <w:t>Интегральные показатели качества воды - индексы качества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Каждый из показателей качества воды в отдельности хотя и несет информацию о качестве воды, все же не может служить мерой качества воды, т.к. не позволяет судить о значениях других показателей. Вместе с тем, результатом оценки качества воды должны быть некоторые интегральные показатели, которые охватывали бы основные показатели качества воды (либо те из них, по которым зафиксированно неблагополучие).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noProof/>
          <w:sz w:val="18"/>
          <w:szCs w:val="18"/>
          <w:lang w:eastAsia="ru-RU"/>
        </w:rPr>
        <w:lastRenderedPageBreak/>
        <w:drawing>
          <wp:inline distT="0" distB="0" distL="0" distR="0" wp14:anchorId="69C5CC39" wp14:editId="4C0E8BFC">
            <wp:extent cx="8572500" cy="6000750"/>
            <wp:effectExtent l="0" t="0" r="0" b="0"/>
            <wp:docPr id="16" name="Рисунок 16" descr="https://r1.nubex.ru/s972-eed/f2278_57/20-ochistka-vody-ot-serovodorod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r1.nubex.ru/s972-eed/f2278_57/20-ochistka-vody-ot-serovodoroda-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6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Гидрохимический индекс загрязнения воды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В простейшем случае, при наличии результатов по нескольким оцениваемым показателям, может быть рассчитана сумма приведенных концентраций компонентов, т.е. отношение их фактических концентраций к ПДК.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   Сумма приведенных концентраций может рассчитываться только для химических веществ с одинаковыми лимитирующим показателем вредности - огранолептическим и санитарно-токсикологическим.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     При наличии результатов анализов по достаточному количеству показателей можно определять классы качества воды, которые являются интегральной характеристикой загрязненности поверхностных вод. Классы качества определяются по индексу загрязнения воды (ИЗВ).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     Значение ИЗВ </w:t>
      </w:r>
      <w:proofErr w:type="gramStart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рассчитываются  для</w:t>
      </w:r>
      <w:proofErr w:type="gramEnd"/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каждого пункта отбора проб (створа). Далее по таблице, в зависимости от значения ИЗВ, определяют класс качества воды.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  <w:t>Таблица 13. Характеристики интегральной оценки качесвта воды</w:t>
      </w:r>
    </w:p>
    <w:tbl>
      <w:tblPr>
        <w:tblW w:w="7500" w:type="dxa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59"/>
        <w:gridCol w:w="2007"/>
        <w:gridCol w:w="3834"/>
      </w:tblGrid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Класс качества воды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Оценка качества (характеристика) воды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Менее и равно 0,2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чистые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0,2-1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Чистые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1-2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Умеренно грязные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2-4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Загрязненные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4-6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Грязные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6-10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грязные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Свяше 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Чрезвычайно грязные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В число 7 основных, так называемых "лимитируемых" показателей, при расчете ИЗВ в обязательном порядке входят концентрация растворенного кислорода и значение БПК5, а также значения еще четырех показателей, являющихся для данного водоема (воды) наиболее не благополучными или имеющих наибольшие приведенные концентрации.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Для рассчета ИЗВ показатели выбираются независимо от лимитирующего признака вредности, однако при равенстве приведенных концентраций предпочтение отдается веществам, имеющим санитарно-токсикологический признак вредности (как правило, такие вещества обладают относительно большей вредностью).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    Задачи интегральной оценки качества воды практически совпадают с задачами гидрохимического мониторинга, т.к. для окончательного вывода о классе качества воды необъодимы результаты анализов по целому ряду показателей в течение продолжительного периода.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Микробиологические показатели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    Уровень загрязненности и класс качества водных объктов иногда устанавливают в зависимости от микробиологических показателей.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Таблица 14. Оценка качесвта вод по микробиологическим показателям</w:t>
      </w:r>
    </w:p>
    <w:tbl>
      <w:tblPr>
        <w:tblW w:w="7500" w:type="dxa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5"/>
        <w:gridCol w:w="1846"/>
        <w:gridCol w:w="1208"/>
        <w:gridCol w:w="1646"/>
        <w:gridCol w:w="1775"/>
      </w:tblGrid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 чистоты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класса чистоты воды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число бактерий, </w:t>
            </w:r>
          </w:p>
          <w:p w:rsidR="00B0507C" w:rsidRPr="00B0507C" w:rsidRDefault="00B0507C" w:rsidP="00B0507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 xml:space="preserve">6 </w:t>
            </w: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клеток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 сапрофитных бактерий, 1000 клеток/мл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Отношение общего числа бактерий к числу сапрофитных бактерий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чистая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0,5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0,5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1000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чистая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0,5 до 1,0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0,5 до 5,0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1000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Умеренно загрязненная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1,0 до 3,1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5,0 до 10,0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1000 до 100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Умеренно загрязненная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3,1 до 5,0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10,0 до 50,0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100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Грязная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5,0 до 10,0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50,0 до 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100</w:t>
            </w:r>
          </w:p>
        </w:tc>
      </w:tr>
      <w:tr w:rsidR="00B0507C" w:rsidRPr="00B0507C" w:rsidTr="00B0507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VI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Очень грязная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10,0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0507C" w:rsidRPr="00B0507C" w:rsidRDefault="00B0507C" w:rsidP="00B050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050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100</w:t>
            </w:r>
          </w:p>
        </w:tc>
      </w:tr>
    </w:tbl>
    <w:p w:rsidR="00B0507C" w:rsidRPr="00B0507C" w:rsidRDefault="00B0507C" w:rsidP="00B050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18"/>
          <w:szCs w:val="18"/>
          <w:lang w:eastAsia="ru-RU"/>
        </w:rPr>
        <w:t>** </w:t>
      </w:r>
      <w:r w:rsidRPr="00B0507C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Эвтрофикация</w:t>
      </w: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(др.-греч</w:t>
      </w:r>
      <w:proofErr w:type="gramStart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. εὐτροφία</w:t>
      </w:r>
      <w:proofErr w:type="gramEnd"/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хорошее питание) — насыщение водоёмов биогенными элементами, сопровождающееся ростом биологической продуктивности водных бассейнов.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B0507C" w:rsidRPr="00B0507C" w:rsidRDefault="00B0507C" w:rsidP="00B0507C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 w:rsidRPr="00B0507C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ГОСТ 17.1.1.01-77 Охрана природы. Гидросфера. Использование и охрана вод. Основные термины и определения</w:t>
      </w:r>
    </w:p>
    <w:p w:rsidR="00B0507C" w:rsidRPr="00B0507C" w:rsidRDefault="00B0507C" w:rsidP="00B0507C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23" w:tgtFrame="_blank" w:history="1">
        <w:r w:rsidRPr="00B0507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2525 - ГОСТ 17.1.1.01-77.pdf</w:t>
        </w:r>
      </w:hyperlink>
      <w:r w:rsidRPr="00B050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(504 КБ) </w:t>
      </w:r>
    </w:p>
    <w:p w:rsidR="00B0507C" w:rsidRPr="00B0507C" w:rsidRDefault="00B0507C" w:rsidP="00B0507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24" w:tgtFrame="_blank" w:history="1">
        <w:r w:rsidRPr="00B0507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Версия для печати</w:t>
        </w:r>
      </w:hyperlink>
    </w:p>
    <w:p w:rsidR="00B0507C" w:rsidRPr="00AC369D" w:rsidRDefault="00B0507C" w:rsidP="00AC36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3457F6" w:rsidRDefault="003457F6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0507C" w:rsidRDefault="00B0507C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0507C" w:rsidRDefault="00B0507C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B0507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72A4E" w:rsidRDefault="00C72A4E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2A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Органолептические свойства воды</w:t>
      </w:r>
    </w:p>
    <w:tbl>
      <w:tblPr>
        <w:tblStyle w:val="a3"/>
        <w:tblW w:w="14967" w:type="dxa"/>
        <w:tblInd w:w="-572" w:type="dxa"/>
        <w:tblLook w:val="04A0" w:firstRow="1" w:lastRow="0" w:firstColumn="1" w:lastColumn="0" w:noHBand="0" w:noVBand="1"/>
      </w:tblPr>
      <w:tblGrid>
        <w:gridCol w:w="1010"/>
        <w:gridCol w:w="1515"/>
        <w:gridCol w:w="1433"/>
        <w:gridCol w:w="2167"/>
        <w:gridCol w:w="1559"/>
        <w:gridCol w:w="1396"/>
        <w:gridCol w:w="1873"/>
        <w:gridCol w:w="2007"/>
        <w:gridCol w:w="2007"/>
      </w:tblGrid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Проба воды</w:t>
            </w:r>
          </w:p>
        </w:tc>
        <w:tc>
          <w:tcPr>
            <w:tcW w:w="5115" w:type="dxa"/>
            <w:gridSpan w:val="3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Запах </w:t>
            </w: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Цветность </w:t>
            </w: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Вкус </w:t>
            </w: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Температура </w:t>
            </w: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Прозрачность </w:t>
            </w: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рН</w:t>
            </w:r>
            <w:proofErr w:type="gramEnd"/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1. 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категория</w:t>
            </w:r>
            <w:proofErr w:type="gramEnd"/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Характер </w:t>
            </w: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Интенсивность </w:t>
            </w: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4. 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5. 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E55584" w:rsidTr="00E55584">
        <w:tc>
          <w:tcPr>
            <w:tcW w:w="1010" w:type="dxa"/>
          </w:tcPr>
          <w:p w:rsidR="00E55584" w:rsidRDefault="00E55584" w:rsidP="00C72A4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1515" w:type="dxa"/>
            <w:tcBorders>
              <w:righ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dxa"/>
            <w:tcBorders>
              <w:left w:val="single" w:sz="2" w:space="0" w:color="auto"/>
            </w:tcBorders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16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6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73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007" w:type="dxa"/>
          </w:tcPr>
          <w:p w:rsidR="00E55584" w:rsidRDefault="00E55584" w:rsidP="00C72A4E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C72A4E" w:rsidRPr="00080E52" w:rsidRDefault="00C72A4E" w:rsidP="00C72A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55584" w:rsidRDefault="00E55584" w:rsidP="00C72A4E">
      <w:pPr>
        <w:jc w:val="center"/>
        <w:rPr>
          <w:b/>
          <w:sz w:val="28"/>
          <w:szCs w:val="28"/>
        </w:rPr>
        <w:sectPr w:rsidR="00E55584" w:rsidSect="00E55584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031EF4" w:rsidRPr="00C72A4E" w:rsidRDefault="00031EF4" w:rsidP="00C72A4E">
      <w:pPr>
        <w:jc w:val="center"/>
        <w:rPr>
          <w:b/>
          <w:sz w:val="28"/>
          <w:szCs w:val="28"/>
        </w:rPr>
      </w:pPr>
    </w:p>
    <w:sectPr w:rsidR="00031EF4" w:rsidRPr="00C72A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0C0733"/>
    <w:multiLevelType w:val="multilevel"/>
    <w:tmpl w:val="DB04B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D2F51B4"/>
    <w:multiLevelType w:val="multilevel"/>
    <w:tmpl w:val="7F7AD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8CD0832"/>
    <w:multiLevelType w:val="multilevel"/>
    <w:tmpl w:val="0BA89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DF96118"/>
    <w:multiLevelType w:val="multilevel"/>
    <w:tmpl w:val="37E475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CD17502"/>
    <w:multiLevelType w:val="multilevel"/>
    <w:tmpl w:val="609CC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0580"/>
    <w:rsid w:val="00031EF4"/>
    <w:rsid w:val="00080E52"/>
    <w:rsid w:val="000D5F1C"/>
    <w:rsid w:val="001A0580"/>
    <w:rsid w:val="003457F6"/>
    <w:rsid w:val="004118D0"/>
    <w:rsid w:val="007F1D40"/>
    <w:rsid w:val="00892A24"/>
    <w:rsid w:val="00AC369D"/>
    <w:rsid w:val="00B0507C"/>
    <w:rsid w:val="00C72A4E"/>
    <w:rsid w:val="00E55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F5FC249-3A48-449C-B6A4-3788B52A15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0507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link w:val="40"/>
    <w:uiPriority w:val="9"/>
    <w:qFormat/>
    <w:rsid w:val="00C72A4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0E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72A4E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rsid w:val="00C72A4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C72A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C72A4E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0507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97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76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5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51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772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65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989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9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146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36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4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6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r1.nubex.ru/s972-eed/f2303_51/img5.jpg" TargetMode="External"/><Relationship Id="rId12" Type="http://schemas.openxmlformats.org/officeDocument/2006/relationships/image" Target="media/image6.jpeg"/><Relationship Id="rId17" Type="http://schemas.openxmlformats.org/officeDocument/2006/relationships/hyperlink" Target="https://r1.nubex.ru/s972-eed/f2281_38/5217868_orig.jpg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hyperlink" Target="https://alminda.ru/about/4957/14283/14304/?printMode=yes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8.jpeg"/><Relationship Id="rId23" Type="http://schemas.openxmlformats.org/officeDocument/2006/relationships/hyperlink" Target="https://r1.nubex.ru/s972-eed/f3191_06/2525%20-%20&#1043;&#1054;&#1057;&#1058;%2017.1.1.01-77.pdf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hyperlink" Target="https://r1.nubex.ru/s972-eed/f2302_68/img1.jpg" TargetMode="External"/><Relationship Id="rId14" Type="http://schemas.openxmlformats.org/officeDocument/2006/relationships/hyperlink" Target="https://r1.nubex.ru/s972-eed/f2283_89/bolezni_ryb_10.jpg" TargetMode="External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27</Pages>
  <Words>5185</Words>
  <Characters>29560</Characters>
  <Application>Microsoft Office Word</Application>
  <DocSecurity>0</DocSecurity>
  <Lines>246</Lines>
  <Paragraphs>69</Paragraphs>
  <ScaleCrop>false</ScaleCrop>
  <Company/>
  <LinksUpToDate>false</LinksUpToDate>
  <CharactersWithSpaces>34676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2022-05-01T09:27:00Z</dcterms:created>
  <dcterms:modified xsi:type="dcterms:W3CDTF">2022-05-01T11:18:00Z</dcterms:modified>
</cp:coreProperties>
</file>